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24" w:rsidRDefault="00EA3A24">
      <w:pPr>
        <w:rPr>
          <w:rFonts w:hint="eastAsia"/>
        </w:rPr>
      </w:pPr>
    </w:p>
    <w:tbl>
      <w:tblPr>
        <w:tblW w:w="5000" w:type="pct"/>
        <w:tblCellMar>
          <w:top w:w="55" w:type="dxa"/>
          <w:left w:w="55" w:type="dxa"/>
          <w:bottom w:w="55" w:type="dxa"/>
          <w:right w:w="55" w:type="dxa"/>
        </w:tblCellMar>
        <w:tblLook w:val="0000" w:firstRow="0" w:lastRow="0" w:firstColumn="0" w:lastColumn="0" w:noHBand="0" w:noVBand="0"/>
      </w:tblPr>
      <w:tblGrid>
        <w:gridCol w:w="4585"/>
        <w:gridCol w:w="5053"/>
      </w:tblGrid>
      <w:tr w:rsidR="00EA3A24">
        <w:trPr>
          <w:trHeight w:val="1116"/>
        </w:trPr>
        <w:tc>
          <w:tcPr>
            <w:tcW w:w="4585" w:type="dxa"/>
            <w:shd w:val="clear" w:color="auto" w:fill="FFFFFF"/>
            <w:vAlign w:val="center"/>
          </w:tcPr>
          <w:p w:rsidR="00EA3A24" w:rsidRDefault="000A033D">
            <w:pPr>
              <w:pStyle w:val="Tabelleninhalt"/>
              <w:snapToGrid w:val="0"/>
              <w:jc w:val="both"/>
              <w:rPr>
                <w:rFonts w:cs="Verdana" w:hint="eastAsia"/>
                <w:u w:val="single"/>
              </w:rPr>
            </w:pPr>
            <w:r>
              <w:rPr>
                <w:rFonts w:cs="Verdana"/>
                <w:noProof/>
                <w:u w:val="single"/>
                <w:lang w:eastAsia="de-DE" w:bidi="ar-SA"/>
              </w:rPr>
              <w:drawing>
                <wp:anchor distT="179705" distB="0" distL="0" distR="0" simplePos="0" relativeHeight="2" behindDoc="0" locked="0" layoutInCell="1" allowOverlap="1">
                  <wp:simplePos x="0" y="0"/>
                  <wp:positionH relativeFrom="column">
                    <wp:posOffset>-10795</wp:posOffset>
                  </wp:positionH>
                  <wp:positionV relativeFrom="paragraph">
                    <wp:posOffset>-34925</wp:posOffset>
                  </wp:positionV>
                  <wp:extent cx="2813685" cy="713105"/>
                  <wp:effectExtent l="0" t="0" r="0" b="0"/>
                  <wp:wrapTopAndBottom/>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noChangeArrowheads="1"/>
                          </pic:cNvPicPr>
                        </pic:nvPicPr>
                        <pic:blipFill>
                          <a:blip r:embed="rId7"/>
                          <a:stretch>
                            <a:fillRect/>
                          </a:stretch>
                        </pic:blipFill>
                        <pic:spPr bwMode="auto">
                          <a:xfrm>
                            <a:off x="0" y="0"/>
                            <a:ext cx="2813685" cy="713105"/>
                          </a:xfrm>
                          <a:prstGeom prst="rect">
                            <a:avLst/>
                          </a:prstGeom>
                        </pic:spPr>
                      </pic:pic>
                    </a:graphicData>
                  </a:graphic>
                </wp:anchor>
              </w:drawing>
            </w:r>
          </w:p>
        </w:tc>
        <w:tc>
          <w:tcPr>
            <w:tcW w:w="5052" w:type="dxa"/>
            <w:shd w:val="clear" w:color="auto" w:fill="FFFFFF"/>
          </w:tcPr>
          <w:p w:rsidR="00EA3A24" w:rsidRDefault="000A033D">
            <w:pPr>
              <w:pStyle w:val="Tabelleninhalt"/>
              <w:snapToGrid w:val="0"/>
              <w:spacing w:before="567"/>
              <w:jc w:val="right"/>
              <w:rPr>
                <w:rFonts w:ascii="Open Sans Semibold" w:hAnsi="Open Sans Semibold" w:cs="Verdana" w:hint="eastAsia"/>
                <w:color w:val="008BD0"/>
                <w:sz w:val="28"/>
                <w:szCs w:val="28"/>
              </w:rPr>
            </w:pPr>
            <w:r>
              <w:rPr>
                <w:rFonts w:ascii="Open Sans Semibold" w:hAnsi="Open Sans Semibold" w:cs="Verdana"/>
                <w:color w:val="008BD0"/>
                <w:sz w:val="28"/>
                <w:szCs w:val="28"/>
              </w:rPr>
              <w:t xml:space="preserve">GE-News </w:t>
            </w:r>
            <w:r w:rsidR="00FB0C93">
              <w:rPr>
                <w:rFonts w:ascii="Open Sans Semibold" w:hAnsi="Open Sans Semibold" w:cs="Verdana"/>
                <w:color w:val="008BD0"/>
                <w:sz w:val="28"/>
                <w:szCs w:val="28"/>
              </w:rPr>
              <w:t>September</w:t>
            </w:r>
            <w:r>
              <w:rPr>
                <w:rFonts w:ascii="Open Sans Semibold" w:hAnsi="Open Sans Semibold" w:cs="Verdana"/>
                <w:color w:val="008BD0"/>
                <w:sz w:val="28"/>
                <w:szCs w:val="28"/>
              </w:rPr>
              <w:t xml:space="preserve"> 2019</w:t>
            </w:r>
            <w:r>
              <w:rPr>
                <w:rFonts w:ascii="Open Sans Semibold" w:hAnsi="Open Sans Semibold" w:cs="Verdana"/>
                <w:color w:val="008BD0"/>
                <w:sz w:val="28"/>
                <w:szCs w:val="28"/>
              </w:rPr>
              <w:br/>
              <w:t xml:space="preserve">     </w:t>
            </w:r>
          </w:p>
        </w:tc>
      </w:tr>
    </w:tbl>
    <w:p w:rsidR="00EA3A24" w:rsidRPr="00D04BB0" w:rsidRDefault="000A033D" w:rsidP="00D04BB0">
      <w:pPr>
        <w:rPr>
          <w:rFonts w:hint="eastAsia"/>
        </w:rPr>
      </w:pPr>
      <w:r w:rsidRPr="00D04BB0">
        <w:t xml:space="preserve">Liebe Freundinnen und Freunde des Grundeinkommens, </w:t>
      </w:r>
    </w:p>
    <w:p w:rsidR="00EA3A24" w:rsidRPr="00D04BB0" w:rsidRDefault="00EA3A24" w:rsidP="00D04BB0">
      <w:pPr>
        <w:rPr>
          <w:rFonts w:hint="eastAsia"/>
        </w:rPr>
      </w:pPr>
    </w:p>
    <w:p w:rsidR="00832C5D" w:rsidRDefault="005B1953" w:rsidP="00D04BB0">
      <w:pPr>
        <w:rPr>
          <w:rFonts w:hint="eastAsia"/>
        </w:rPr>
      </w:pPr>
      <w:r>
        <w:t xml:space="preserve">die Grundeinkommensdebatte greift in Deutschland immer weiter um sich. So hat die Diakonie, der größte Spitzenverband der Freien Wohlfahrtspflege in Deutschland, sich auf zwei Fachtagen mit dem Grundeinkommen und in Richtung Grundeinkommen gehenden Vorschlägen beschäftigt.   </w:t>
      </w:r>
    </w:p>
    <w:p w:rsidR="005B1953" w:rsidRDefault="005B1953" w:rsidP="00D04BB0">
      <w:pPr>
        <w:rPr>
          <w:rFonts w:hint="eastAsia"/>
        </w:rPr>
      </w:pPr>
    </w:p>
    <w:p w:rsidR="005B1953" w:rsidRPr="00927F8F" w:rsidRDefault="005B1953" w:rsidP="00D04BB0">
      <w:pPr>
        <w:rPr>
          <w:rFonts w:hint="eastAsia"/>
        </w:rPr>
      </w:pPr>
      <w:r w:rsidRPr="00927F8F">
        <w:t>Die Katholische Arb</w:t>
      </w:r>
      <w:r w:rsidR="00927F8F" w:rsidRPr="00927F8F">
        <w:t>eitnehmer-Bewegung Deutschlands veröffentlicht ein Arbeits- und Lesebuch unter dem Titel „</w:t>
      </w:r>
      <w:hyperlink r:id="rId8" w:history="1">
        <w:r w:rsidR="00927F8F" w:rsidRPr="00927F8F">
          <w:rPr>
            <w:rStyle w:val="Hyperlink"/>
            <w:rFonts w:cs="Arial"/>
            <w:shd w:val="clear" w:color="auto" w:fill="FFFFFF"/>
          </w:rPr>
          <w:t>Zukunft der Arbeit 2 – Nachhaltig wachsen. Besser arbeiten. Gut Leben</w:t>
        </w:r>
      </w:hyperlink>
      <w:r w:rsidR="00927F8F" w:rsidRPr="00927F8F">
        <w:rPr>
          <w:rFonts w:cs="Arial"/>
          <w:color w:val="000000"/>
          <w:shd w:val="clear" w:color="auto" w:fill="FFFFFF"/>
        </w:rPr>
        <w:t>“</w:t>
      </w:r>
      <w:r w:rsidR="00927F8F">
        <w:rPr>
          <w:rFonts w:cs="Arial"/>
          <w:color w:val="000000"/>
          <w:shd w:val="clear" w:color="auto" w:fill="FFFFFF"/>
        </w:rPr>
        <w:t>, in dem Wirtschaftswachstum in jetziger Form in Frage gestellt wird und das Grundeinkommen eine wichtige Rolle für eine Gesellschaft spielt, in der eine andere Form des Wirtschaftens und ein gutes Leben für alle im Mittelpunkt steht.</w:t>
      </w:r>
    </w:p>
    <w:p w:rsidR="005B1953" w:rsidRPr="00D04BB0" w:rsidRDefault="005B1953" w:rsidP="00D04BB0">
      <w:pPr>
        <w:rPr>
          <w:rFonts w:hint="eastAsia"/>
        </w:rPr>
      </w:pPr>
    </w:p>
    <w:p w:rsidR="00EA3A24" w:rsidRPr="00D04BB0" w:rsidRDefault="00927F8F" w:rsidP="00D04BB0">
      <w:pPr>
        <w:rPr>
          <w:rFonts w:hint="eastAsia"/>
        </w:rPr>
      </w:pPr>
      <w:r>
        <w:t xml:space="preserve">Vielen wird ganz deutlich klar, was der Papst </w:t>
      </w:r>
      <w:r w:rsidR="006F7321">
        <w:t>so auf den Punkt brachte: „</w:t>
      </w:r>
      <w:hyperlink r:id="rId9" w:history="1">
        <w:r w:rsidR="006F7321" w:rsidRPr="006F7321">
          <w:rPr>
            <w:rStyle w:val="Hyperlink"/>
          </w:rPr>
          <w:t>Diese Wirtschaft tötet</w:t>
        </w:r>
      </w:hyperlink>
      <w:r w:rsidR="006F7321">
        <w:t>.“</w:t>
      </w:r>
    </w:p>
    <w:p w:rsidR="00677B18" w:rsidRPr="00D04BB0" w:rsidRDefault="006F7321" w:rsidP="006F7321">
      <w:pPr>
        <w:rPr>
          <w:rFonts w:hint="eastAsia"/>
        </w:rPr>
      </w:pPr>
      <w:r>
        <w:t xml:space="preserve">Was haben der spürbare Klimawandel, der fortwährende Raubbau an der Natur und die Zerstörung der natürlichen Umwelt mit einer Wirtschaft und </w:t>
      </w:r>
      <w:r w:rsidR="00BF5C11">
        <w:t xml:space="preserve">mit </w:t>
      </w:r>
      <w:r>
        <w:t>gesellschaftlichen Verhältnissen zu tun, die Profit, Konkurrenz</w:t>
      </w:r>
      <w:r w:rsidR="00BF5C11">
        <w:t>verhältnisse</w:t>
      </w:r>
      <w:r>
        <w:t xml:space="preserve"> und die Herrschaft der Wenigen über die Vielen statt Befriedigung von Bedürfnissen, Kooperation</w:t>
      </w:r>
      <w:r w:rsidR="00234E7D">
        <w:t>, Demokratie</w:t>
      </w:r>
      <w:bookmarkStart w:id="0" w:name="_GoBack"/>
      <w:bookmarkEnd w:id="0"/>
      <w:r>
        <w:t xml:space="preserve"> und das gute Leben für alle zur Grundlage haben</w:t>
      </w:r>
      <w:r w:rsidR="00BF5C11">
        <w:t>?</w:t>
      </w:r>
      <w:r>
        <w:t xml:space="preserve"> </w:t>
      </w:r>
      <w:r w:rsidR="00BF5C11">
        <w:t>W</w:t>
      </w:r>
      <w:r>
        <w:t xml:space="preserve">as kann das Grundeinkommen zu einem </w:t>
      </w:r>
      <w:r w:rsidR="00BF5C11">
        <w:t xml:space="preserve">wirklichen gesellschaftlichen </w:t>
      </w:r>
      <w:r>
        <w:t>Wandel beitragen</w:t>
      </w:r>
      <w:r w:rsidR="00BF5C11">
        <w:t>?</w:t>
      </w:r>
      <w:r>
        <w:t xml:space="preserve"> Das sind Fragen, die viele Menschen in den nächsten Jahren bewegen werden. Die Grundeinkommensbewegung m</w:t>
      </w:r>
      <w:r w:rsidR="00BF5C11">
        <w:t xml:space="preserve">uss ihre Antworten schärfen, </w:t>
      </w:r>
      <w:r>
        <w:t>sich aktiv</w:t>
      </w:r>
      <w:r w:rsidR="00BF5C11">
        <w:t xml:space="preserve"> in die gesellschaftlichen Debatten einmischen und Bündnispartnerschaften begründen.   </w:t>
      </w:r>
      <w:r>
        <w:t xml:space="preserve">  </w:t>
      </w:r>
    </w:p>
    <w:p w:rsidR="00151F02" w:rsidRPr="00D04BB0" w:rsidRDefault="00151F02" w:rsidP="00D04BB0">
      <w:pPr>
        <w:rPr>
          <w:rFonts w:hint="eastAsia"/>
        </w:rPr>
      </w:pPr>
    </w:p>
    <w:p w:rsidR="00EA3A24" w:rsidRPr="00D04BB0" w:rsidRDefault="006F0397" w:rsidP="00D04BB0">
      <w:pPr>
        <w:rPr>
          <w:rFonts w:hint="eastAsia"/>
        </w:rPr>
      </w:pPr>
      <w:r w:rsidRPr="00D04BB0">
        <w:t>Ronald Blaschke</w:t>
      </w:r>
    </w:p>
    <w:p w:rsidR="00EA3A24" w:rsidRPr="00D04BB0" w:rsidRDefault="000A033D" w:rsidP="00D04BB0">
      <w:pPr>
        <w:rPr>
          <w:rFonts w:hint="eastAsia"/>
          <w:highlight w:val="white"/>
        </w:rPr>
      </w:pPr>
      <w:r w:rsidRPr="00D04BB0">
        <w:rPr>
          <w:highlight w:val="white"/>
        </w:rPr>
        <w:t>__________________________________</w:t>
      </w:r>
    </w:p>
    <w:p w:rsidR="00EA3A24" w:rsidRPr="00D04BB0" w:rsidRDefault="00EA3A24" w:rsidP="00D04BB0">
      <w:pPr>
        <w:rPr>
          <w:rFonts w:hint="eastAsia"/>
          <w:highlight w:val="white"/>
        </w:rPr>
      </w:pPr>
    </w:p>
    <w:p w:rsidR="00EA3A24" w:rsidRPr="00D04BB0" w:rsidRDefault="005B1953" w:rsidP="00D04BB0">
      <w:pPr>
        <w:rPr>
          <w:rFonts w:hint="eastAsia"/>
          <w:color w:val="FFC000"/>
        </w:rPr>
      </w:pPr>
      <w:r>
        <w:rPr>
          <w:rFonts w:hint="eastAsia"/>
          <w:color w:val="FFC000"/>
        </w:rPr>
        <w:t>Ausgewählte Texte von Vordenker/innen</w:t>
      </w:r>
      <w:r>
        <w:rPr>
          <w:color w:val="FFC000"/>
        </w:rPr>
        <w:t xml:space="preserve"> zum Grundeinkommen in einem Buch versamm</w:t>
      </w:r>
      <w:r w:rsidR="00BF5C11">
        <w:rPr>
          <w:color w:val="FFC000"/>
        </w:rPr>
        <w:t>e</w:t>
      </w:r>
      <w:r>
        <w:rPr>
          <w:color w:val="FFC000"/>
        </w:rPr>
        <w:t>lt</w:t>
      </w:r>
      <w:r>
        <w:rPr>
          <w:rFonts w:hint="eastAsia"/>
          <w:color w:val="FFC000"/>
        </w:rPr>
        <w:t xml:space="preserve"> </w:t>
      </w:r>
      <w:r w:rsidR="000A033D" w:rsidRPr="00D04BB0">
        <w:rPr>
          <w:color w:val="FFC000"/>
          <w:highlight w:val="white"/>
        </w:rPr>
        <w:t xml:space="preserve"> </w:t>
      </w:r>
    </w:p>
    <w:p w:rsidR="00EA3A24" w:rsidRPr="00AD543B" w:rsidRDefault="005B1953" w:rsidP="00D04BB0">
      <w:pPr>
        <w:rPr>
          <w:rFonts w:ascii="OpenSans" w:hAnsi="OpenSans" w:hint="eastAsia"/>
          <w:color w:val="231F20"/>
          <w:spacing w:val="2"/>
          <w:shd w:val="clear" w:color="auto" w:fill="FFFFFF"/>
        </w:rPr>
      </w:pPr>
      <w:r w:rsidRPr="00AD543B">
        <w:rPr>
          <w:rFonts w:ascii="OpenSans" w:hAnsi="OpenSans"/>
          <w:color w:val="231F20"/>
          <w:spacing w:val="2"/>
          <w:shd w:val="clear" w:color="auto" w:fill="FFFFFF"/>
        </w:rPr>
        <w:t xml:space="preserve">Philip Kovce und Birger P. </w:t>
      </w:r>
      <w:proofErr w:type="spellStart"/>
      <w:r w:rsidRPr="00AD543B">
        <w:rPr>
          <w:rFonts w:ascii="OpenSans" w:hAnsi="OpenSans"/>
          <w:color w:val="231F20"/>
          <w:spacing w:val="2"/>
          <w:shd w:val="clear" w:color="auto" w:fill="FFFFFF"/>
        </w:rPr>
        <w:t>Priddat</w:t>
      </w:r>
      <w:proofErr w:type="spellEnd"/>
      <w:r w:rsidRPr="00AD543B">
        <w:rPr>
          <w:rFonts w:ascii="OpenSans" w:hAnsi="OpenSans"/>
          <w:color w:val="231F20"/>
          <w:spacing w:val="2"/>
          <w:shd w:val="clear" w:color="auto" w:fill="FFFFFF"/>
        </w:rPr>
        <w:t xml:space="preserve"> haben kürzlich ein Buch mit dem Titel „</w:t>
      </w:r>
      <w:hyperlink r:id="rId10" w:history="1">
        <w:r w:rsidRPr="00AD543B">
          <w:rPr>
            <w:rStyle w:val="Hyperlink"/>
            <w:rFonts w:ascii="OpenSans" w:hAnsi="OpenSans"/>
            <w:spacing w:val="2"/>
            <w:shd w:val="clear" w:color="auto" w:fill="FFFFFF"/>
          </w:rPr>
          <w:t>Bedingungsloses Grundeinkommen. Grundlagentexte</w:t>
        </w:r>
      </w:hyperlink>
      <w:r w:rsidRPr="00AD543B">
        <w:rPr>
          <w:rFonts w:ascii="OpenSans" w:hAnsi="OpenSans"/>
          <w:color w:val="231F20"/>
          <w:spacing w:val="2"/>
          <w:shd w:val="clear" w:color="auto" w:fill="FFFFFF"/>
        </w:rPr>
        <w:t>“ herausgegeben, das eine Lücke auf dem Buchmarkt füllt und die Debatten zum Grundeinkommen beleben wird. Zugleich macht es deutlich, dass noch einiges unerforscht und zu klären ist.  </w:t>
      </w:r>
    </w:p>
    <w:p w:rsidR="005B1953" w:rsidRPr="00D04BB0" w:rsidRDefault="005B1953" w:rsidP="00D04BB0">
      <w:pPr>
        <w:rPr>
          <w:rFonts w:hint="eastAsia"/>
        </w:rPr>
      </w:pPr>
    </w:p>
    <w:p w:rsidR="0082589A" w:rsidRPr="00D04BB0" w:rsidRDefault="0082589A" w:rsidP="00D04BB0">
      <w:pPr>
        <w:rPr>
          <w:rFonts w:hint="eastAsia"/>
          <w:color w:val="FFC000"/>
        </w:rPr>
      </w:pPr>
      <w:r w:rsidRPr="00D04BB0">
        <w:rPr>
          <w:color w:val="FFC000"/>
        </w:rPr>
        <w:t xml:space="preserve">Plattform des </w:t>
      </w:r>
      <w:r w:rsidR="0055107B">
        <w:rPr>
          <w:color w:val="FFC000"/>
        </w:rPr>
        <w:t>Netzwerks zur Landtagswahl in Thüringen</w:t>
      </w:r>
    </w:p>
    <w:p w:rsidR="00EA3A24" w:rsidRPr="00AD543B" w:rsidRDefault="00E231B1" w:rsidP="00D04BB0">
      <w:pPr>
        <w:rPr>
          <w:rFonts w:hint="eastAsia"/>
        </w:rPr>
      </w:pPr>
      <w:r w:rsidRPr="00AD543B">
        <w:t xml:space="preserve">Ein Team des </w:t>
      </w:r>
      <w:r w:rsidR="0082589A" w:rsidRPr="00AD543B">
        <w:t>Netzwerks Grundeinkommen stellt</w:t>
      </w:r>
      <w:r w:rsidRPr="00AD543B">
        <w:t xml:space="preserve"> eine </w:t>
      </w:r>
      <w:hyperlink r:id="rId11" w:history="1">
        <w:r w:rsidRPr="00AD543B">
          <w:rPr>
            <w:rStyle w:val="Hyperlink"/>
          </w:rPr>
          <w:t xml:space="preserve">Serviceplattform für die </w:t>
        </w:r>
        <w:r w:rsidR="0055107B" w:rsidRPr="00AD543B">
          <w:rPr>
            <w:rStyle w:val="Hyperlink"/>
          </w:rPr>
          <w:t xml:space="preserve">Thüringer </w:t>
        </w:r>
        <w:r w:rsidR="0082589A" w:rsidRPr="00AD543B">
          <w:rPr>
            <w:rStyle w:val="Hyperlink"/>
          </w:rPr>
          <w:t>L</w:t>
        </w:r>
        <w:r w:rsidR="0055107B" w:rsidRPr="00AD543B">
          <w:rPr>
            <w:rStyle w:val="Hyperlink"/>
          </w:rPr>
          <w:t>andtagswahl</w:t>
        </w:r>
      </w:hyperlink>
      <w:r w:rsidR="0082589A" w:rsidRPr="00AD543B">
        <w:t xml:space="preserve"> </w:t>
      </w:r>
      <w:r w:rsidR="005B1953" w:rsidRPr="00AD543B">
        <w:t xml:space="preserve">(Ende Oktober 2019) </w:t>
      </w:r>
      <w:r w:rsidRPr="00AD543B">
        <w:t xml:space="preserve">zur Verfügung. </w:t>
      </w:r>
      <w:r w:rsidR="0082589A" w:rsidRPr="00AD543B">
        <w:t>Kandidierende pro Grundeinkommen könne</w:t>
      </w:r>
      <w:r w:rsidR="000D64A3" w:rsidRPr="00AD543B">
        <w:t>n</w:t>
      </w:r>
      <w:r w:rsidR="0082589A" w:rsidRPr="00AD543B">
        <w:t xml:space="preserve"> sich </w:t>
      </w:r>
      <w:r w:rsidR="005B1953" w:rsidRPr="00AD543B">
        <w:t>ihrer Wähler*</w:t>
      </w:r>
      <w:proofErr w:type="spellStart"/>
      <w:r w:rsidR="005B1953" w:rsidRPr="00AD543B">
        <w:t>innenschaft</w:t>
      </w:r>
      <w:proofErr w:type="spellEnd"/>
      <w:r w:rsidR="005B1953" w:rsidRPr="00AD543B">
        <w:t xml:space="preserve"> </w:t>
      </w:r>
      <w:r w:rsidR="0082589A" w:rsidRPr="00AD543B">
        <w:t>präsentieren.</w:t>
      </w:r>
      <w:r w:rsidR="003016A2" w:rsidRPr="00AD543B">
        <w:t xml:space="preserve"> </w:t>
      </w:r>
    </w:p>
    <w:p w:rsidR="00EA3A24" w:rsidRPr="00D04BB0" w:rsidRDefault="00EA3A24" w:rsidP="00D04BB0">
      <w:pPr>
        <w:rPr>
          <w:rFonts w:hint="eastAsia"/>
        </w:rPr>
      </w:pPr>
    </w:p>
    <w:p w:rsidR="00EA3A24" w:rsidRPr="00D04BB0" w:rsidRDefault="0055107B" w:rsidP="00D04BB0">
      <w:pPr>
        <w:rPr>
          <w:rFonts w:hint="eastAsia"/>
          <w:color w:val="FFC000"/>
        </w:rPr>
      </w:pPr>
      <w:r>
        <w:rPr>
          <w:color w:val="FFC000"/>
        </w:rPr>
        <w:t>Dokumentation der Diakonie-</w:t>
      </w:r>
      <w:proofErr w:type="spellStart"/>
      <w:r>
        <w:rPr>
          <w:color w:val="FFC000"/>
        </w:rPr>
        <w:t>Fachtage</w:t>
      </w:r>
      <w:proofErr w:type="spellEnd"/>
      <w:r>
        <w:rPr>
          <w:color w:val="FFC000"/>
        </w:rPr>
        <w:t xml:space="preserve"> zum Grundeinkommen online</w:t>
      </w:r>
    </w:p>
    <w:p w:rsidR="00EA3A24" w:rsidRPr="00AD543B" w:rsidRDefault="0055107B" w:rsidP="00D04BB0">
      <w:pPr>
        <w:rPr>
          <w:rFonts w:hint="eastAsia"/>
        </w:rPr>
      </w:pPr>
      <w:r w:rsidRPr="00AD543B">
        <w:rPr>
          <w:rFonts w:ascii="OpenSans" w:hAnsi="OpenSans"/>
          <w:color w:val="231F20"/>
          <w:spacing w:val="2"/>
          <w:shd w:val="clear" w:color="auto" w:fill="FFFFFF"/>
        </w:rPr>
        <w:t>Als erster großer Spitzenverband der Freien Wohlfahrtspflege beschäftigte sich die Diakonie ausführlich mit dem Grundeinkommen und anderen Vorschlägen zur Refo</w:t>
      </w:r>
      <w:r w:rsidR="001E5621" w:rsidRPr="00AD543B">
        <w:rPr>
          <w:rFonts w:ascii="OpenSans" w:hAnsi="OpenSans"/>
          <w:color w:val="231F20"/>
          <w:spacing w:val="2"/>
          <w:shd w:val="clear" w:color="auto" w:fill="FFFFFF"/>
        </w:rPr>
        <w:t xml:space="preserve">rmierung der Sozialsysteme. Die zwei </w:t>
      </w:r>
      <w:proofErr w:type="spellStart"/>
      <w:r w:rsidR="001E5621" w:rsidRPr="00AD543B">
        <w:rPr>
          <w:rFonts w:ascii="OpenSans" w:hAnsi="OpenSans"/>
          <w:color w:val="231F20"/>
          <w:spacing w:val="2"/>
          <w:shd w:val="clear" w:color="auto" w:fill="FFFFFF"/>
        </w:rPr>
        <w:t>Fachtage</w:t>
      </w:r>
      <w:proofErr w:type="spellEnd"/>
      <w:r w:rsidRPr="00AD543B">
        <w:rPr>
          <w:rFonts w:ascii="OpenSans" w:hAnsi="OpenSans"/>
          <w:color w:val="231F20"/>
          <w:spacing w:val="2"/>
          <w:shd w:val="clear" w:color="auto" w:fill="FFFFFF"/>
        </w:rPr>
        <w:t xml:space="preserve"> sollten auch dazu dienen, Expert*</w:t>
      </w:r>
      <w:proofErr w:type="spellStart"/>
      <w:r w:rsidRPr="00AD543B">
        <w:rPr>
          <w:rFonts w:ascii="OpenSans" w:hAnsi="OpenSans"/>
          <w:color w:val="231F20"/>
          <w:spacing w:val="2"/>
          <w:shd w:val="clear" w:color="auto" w:fill="FFFFFF"/>
        </w:rPr>
        <w:t>innenmeinungen</w:t>
      </w:r>
      <w:proofErr w:type="spellEnd"/>
      <w:r w:rsidRPr="00AD543B">
        <w:rPr>
          <w:rFonts w:ascii="OpenSans" w:hAnsi="OpenSans"/>
          <w:color w:val="231F20"/>
          <w:spacing w:val="2"/>
          <w:shd w:val="clear" w:color="auto" w:fill="FFFFFF"/>
        </w:rPr>
        <w:t xml:space="preserve"> zu hören, auf deren Grundlage die Diakonie ihr eigenes Konzept zur Umgestaltung des Sozialsystems formulieren kann. Die Beiträge sind nun </w:t>
      </w:r>
      <w:hyperlink r:id="rId12" w:history="1">
        <w:r w:rsidRPr="00AD543B">
          <w:rPr>
            <w:rStyle w:val="Hyperlink"/>
            <w:rFonts w:ascii="OpenSans" w:hAnsi="OpenSans"/>
            <w:spacing w:val="2"/>
            <w:shd w:val="clear" w:color="auto" w:fill="FFFFFF"/>
          </w:rPr>
          <w:t>online</w:t>
        </w:r>
      </w:hyperlink>
      <w:r w:rsidRPr="00AD543B">
        <w:rPr>
          <w:rFonts w:ascii="OpenSans" w:hAnsi="OpenSans"/>
          <w:color w:val="231F20"/>
          <w:spacing w:val="2"/>
          <w:shd w:val="clear" w:color="auto" w:fill="FFFFFF"/>
        </w:rPr>
        <w:t>. </w:t>
      </w:r>
    </w:p>
    <w:p w:rsidR="00EA3A24" w:rsidRPr="00D04BB0" w:rsidRDefault="00EA3A24" w:rsidP="00D04BB0">
      <w:pPr>
        <w:rPr>
          <w:rFonts w:hint="eastAsia"/>
        </w:rPr>
      </w:pPr>
    </w:p>
    <w:p w:rsidR="00EA3A24" w:rsidRPr="00D04BB0" w:rsidRDefault="000A033D" w:rsidP="00D04BB0">
      <w:pPr>
        <w:rPr>
          <w:rFonts w:hint="eastAsia"/>
          <w:color w:val="FFC000"/>
        </w:rPr>
      </w:pPr>
      <w:r w:rsidRPr="00D04BB0">
        <w:rPr>
          <w:color w:val="FFC000"/>
        </w:rPr>
        <w:t>Termine</w:t>
      </w:r>
    </w:p>
    <w:p w:rsidR="00333EB4" w:rsidRPr="00333EB4" w:rsidRDefault="00333EB4" w:rsidP="002A1145">
      <w:pPr>
        <w:pStyle w:val="Listenabsatz"/>
        <w:numPr>
          <w:ilvl w:val="0"/>
          <w:numId w:val="3"/>
        </w:numPr>
        <w:rPr>
          <w:rFonts w:hint="eastAsia"/>
          <w:szCs w:val="24"/>
        </w:rPr>
      </w:pPr>
      <w:r w:rsidRPr="00333EB4">
        <w:rPr>
          <w:rFonts w:cs="Arial"/>
          <w:color w:val="000000"/>
          <w:szCs w:val="24"/>
          <w:shd w:val="clear" w:color="auto" w:fill="FFFFFF"/>
        </w:rPr>
        <w:t>18.-20. Oktober 2019, Berlin: </w:t>
      </w:r>
      <w:hyperlink r:id="rId13" w:history="1">
        <w:r w:rsidRPr="00333EB4">
          <w:rPr>
            <w:rStyle w:val="Hyperlink"/>
            <w:rFonts w:cs="Arial"/>
            <w:color w:val="005E9B"/>
            <w:szCs w:val="24"/>
            <w:u w:val="none"/>
            <w:shd w:val="clear" w:color="auto" w:fill="FFFFFF"/>
          </w:rPr>
          <w:t>Strategiekonferenz sozialer Bewegungen</w:t>
        </w:r>
      </w:hyperlink>
    </w:p>
    <w:p w:rsidR="00FB0C93" w:rsidRPr="00AD543B" w:rsidRDefault="00FB0C93" w:rsidP="002A1145">
      <w:pPr>
        <w:pStyle w:val="Listenabsatz"/>
        <w:numPr>
          <w:ilvl w:val="0"/>
          <w:numId w:val="3"/>
        </w:numPr>
        <w:rPr>
          <w:rFonts w:hint="eastAsia"/>
          <w:szCs w:val="24"/>
        </w:rPr>
      </w:pPr>
      <w:r w:rsidRPr="00AD543B">
        <w:rPr>
          <w:szCs w:val="24"/>
        </w:rPr>
        <w:t>26. Oktober</w:t>
      </w:r>
      <w:r w:rsidR="0055107B" w:rsidRPr="00AD543B">
        <w:rPr>
          <w:szCs w:val="24"/>
        </w:rPr>
        <w:t xml:space="preserve"> 2019</w:t>
      </w:r>
      <w:r w:rsidRPr="00AD543B">
        <w:rPr>
          <w:szCs w:val="24"/>
        </w:rPr>
        <w:t xml:space="preserve">, Berlin: </w:t>
      </w:r>
      <w:hyperlink r:id="rId14" w:history="1">
        <w:r w:rsidRPr="00AD543B">
          <w:rPr>
            <w:rStyle w:val="Hyperlink"/>
            <w:szCs w:val="24"/>
          </w:rPr>
          <w:t>Basic Income March</w:t>
        </w:r>
      </w:hyperlink>
    </w:p>
    <w:p w:rsidR="00FB0C93" w:rsidRPr="00AD543B" w:rsidRDefault="00FB0C93" w:rsidP="002A1145">
      <w:pPr>
        <w:pStyle w:val="Listenabsatz"/>
        <w:numPr>
          <w:ilvl w:val="0"/>
          <w:numId w:val="3"/>
        </w:numPr>
        <w:rPr>
          <w:rFonts w:hint="eastAsia"/>
          <w:szCs w:val="24"/>
        </w:rPr>
      </w:pPr>
      <w:r w:rsidRPr="00AD543B">
        <w:rPr>
          <w:szCs w:val="24"/>
          <w:lang w:val="en-US"/>
        </w:rPr>
        <w:lastRenderedPageBreak/>
        <w:t xml:space="preserve">7.-8. </w:t>
      </w:r>
      <w:proofErr w:type="spellStart"/>
      <w:r w:rsidRPr="00AD543B">
        <w:rPr>
          <w:szCs w:val="24"/>
          <w:lang w:val="en-US"/>
        </w:rPr>
        <w:t>Dezember</w:t>
      </w:r>
      <w:proofErr w:type="spellEnd"/>
      <w:r w:rsidRPr="00AD543B">
        <w:rPr>
          <w:szCs w:val="24"/>
          <w:lang w:val="en-US"/>
        </w:rPr>
        <w:t xml:space="preserve"> 2019, Kassel</w:t>
      </w:r>
      <w:r w:rsidR="00A906E8" w:rsidRPr="00AD543B">
        <w:rPr>
          <w:szCs w:val="24"/>
          <w:lang w:val="en-US"/>
        </w:rPr>
        <w:t>:</w:t>
      </w:r>
      <w:r w:rsidR="0027584F" w:rsidRPr="00AD543B">
        <w:rPr>
          <w:szCs w:val="24"/>
          <w:lang w:val="en-US"/>
        </w:rPr>
        <w:t xml:space="preserve"> </w:t>
      </w:r>
      <w:proofErr w:type="spellStart"/>
      <w:r w:rsidRPr="00AD543B">
        <w:rPr>
          <w:szCs w:val="24"/>
          <w:lang w:val="en-US"/>
        </w:rPr>
        <w:t>Tagung</w:t>
      </w:r>
      <w:proofErr w:type="spellEnd"/>
      <w:r w:rsidRPr="00AD543B">
        <w:rPr>
          <w:szCs w:val="24"/>
          <w:lang w:val="en-US"/>
        </w:rPr>
        <w:t xml:space="preserve"> des </w:t>
      </w:r>
      <w:proofErr w:type="spellStart"/>
      <w:r w:rsidRPr="00AD543B">
        <w:rPr>
          <w:szCs w:val="24"/>
          <w:lang w:val="en-US"/>
        </w:rPr>
        <w:t>Netzwerkrates</w:t>
      </w:r>
      <w:proofErr w:type="spellEnd"/>
    </w:p>
    <w:p w:rsidR="000E4E46" w:rsidRPr="00AD543B" w:rsidRDefault="00FB0C93" w:rsidP="00FB0C93">
      <w:pPr>
        <w:pStyle w:val="Listenabsatz"/>
        <w:numPr>
          <w:ilvl w:val="0"/>
          <w:numId w:val="3"/>
        </w:numPr>
        <w:rPr>
          <w:rFonts w:hint="eastAsia"/>
          <w:szCs w:val="24"/>
        </w:rPr>
      </w:pPr>
      <w:r w:rsidRPr="00AD543B">
        <w:rPr>
          <w:szCs w:val="24"/>
        </w:rPr>
        <w:t>29. Februar/1. März 2020, Bonn</w:t>
      </w:r>
      <w:r w:rsidR="0027584F" w:rsidRPr="00AD543B">
        <w:rPr>
          <w:szCs w:val="24"/>
        </w:rPr>
        <w:t xml:space="preserve">: </w:t>
      </w:r>
      <w:r w:rsidRPr="00AD543B">
        <w:rPr>
          <w:szCs w:val="24"/>
        </w:rPr>
        <w:t>Mitgliederversammlung des Netzwerks</w:t>
      </w:r>
      <w:r w:rsidR="0055107B" w:rsidRPr="00AD543B">
        <w:rPr>
          <w:szCs w:val="24"/>
        </w:rPr>
        <w:t xml:space="preserve"> Grundeinkommen</w:t>
      </w:r>
    </w:p>
    <w:p w:rsidR="00FB0C93" w:rsidRPr="00AD543B" w:rsidRDefault="00FB0C93" w:rsidP="00FB0C93">
      <w:pPr>
        <w:pStyle w:val="Listenabsatz"/>
        <w:numPr>
          <w:ilvl w:val="0"/>
          <w:numId w:val="3"/>
        </w:numPr>
        <w:rPr>
          <w:rFonts w:hint="eastAsia"/>
          <w:szCs w:val="24"/>
        </w:rPr>
      </w:pPr>
      <w:r w:rsidRPr="00AD543B">
        <w:rPr>
          <w:szCs w:val="24"/>
        </w:rPr>
        <w:t>29. Februar</w:t>
      </w:r>
      <w:r w:rsidR="00436A42" w:rsidRPr="00AD543B">
        <w:rPr>
          <w:szCs w:val="24"/>
        </w:rPr>
        <w:t xml:space="preserve"> 2020</w:t>
      </w:r>
      <w:r w:rsidRPr="00AD543B">
        <w:rPr>
          <w:szCs w:val="24"/>
        </w:rPr>
        <w:t>, Bonn: öffentliche Ab</w:t>
      </w:r>
      <w:r w:rsidR="0055107B" w:rsidRPr="00AD543B">
        <w:rPr>
          <w:szCs w:val="24"/>
        </w:rPr>
        <w:t>endveranstaltung des Netzwerks Grundeinkommen</w:t>
      </w:r>
    </w:p>
    <w:p w:rsidR="00300810" w:rsidRPr="00AD543B" w:rsidRDefault="00300810" w:rsidP="00D04BB0">
      <w:pPr>
        <w:pStyle w:val="Listenabsatz"/>
        <w:numPr>
          <w:ilvl w:val="0"/>
          <w:numId w:val="3"/>
        </w:numPr>
        <w:rPr>
          <w:rFonts w:hint="eastAsia"/>
          <w:szCs w:val="24"/>
        </w:rPr>
      </w:pPr>
      <w:r w:rsidRPr="00AD543B">
        <w:rPr>
          <w:rFonts w:hint="eastAsia"/>
          <w:szCs w:val="24"/>
        </w:rPr>
        <w:t>d</w:t>
      </w:r>
      <w:r w:rsidRPr="00AD543B">
        <w:rPr>
          <w:szCs w:val="24"/>
        </w:rPr>
        <w:t xml:space="preserve">ieses Jahr laufend: </w:t>
      </w:r>
      <w:hyperlink r:id="rId15" w:history="1">
        <w:proofErr w:type="spellStart"/>
        <w:r w:rsidRPr="00AD543B">
          <w:rPr>
            <w:rStyle w:val="Hyperlink"/>
            <w:szCs w:val="24"/>
          </w:rPr>
          <w:t>digibge</w:t>
        </w:r>
        <w:proofErr w:type="spellEnd"/>
        <w:r w:rsidRPr="00AD543B">
          <w:rPr>
            <w:rStyle w:val="Hyperlink"/>
            <w:szCs w:val="24"/>
          </w:rPr>
          <w:t>-Tournee</w:t>
        </w:r>
      </w:hyperlink>
      <w:r w:rsidRPr="00AD543B">
        <w:rPr>
          <w:szCs w:val="24"/>
        </w:rPr>
        <w:t xml:space="preserve"> unter Mitwirkun</w:t>
      </w:r>
      <w:r w:rsidR="00D04BB0" w:rsidRPr="00AD543B">
        <w:rPr>
          <w:szCs w:val="24"/>
        </w:rPr>
        <w:t>g des Netzwerks Grundeinkommen</w:t>
      </w:r>
    </w:p>
    <w:p w:rsidR="00EA3A24" w:rsidRPr="00AD543B" w:rsidRDefault="000A033D" w:rsidP="00D04BB0">
      <w:pPr>
        <w:rPr>
          <w:rFonts w:hint="eastAsia"/>
        </w:rPr>
      </w:pPr>
      <w:r w:rsidRPr="00AD543B">
        <w:t xml:space="preserve">Weitere Termine – gern auch Ihre und Eure – wie immer auf unserer </w:t>
      </w:r>
      <w:hyperlink r:id="rId16">
        <w:r w:rsidRPr="00AD543B">
          <w:rPr>
            <w:rStyle w:val="Hyperlink"/>
          </w:rPr>
          <w:t>Website</w:t>
        </w:r>
      </w:hyperlink>
      <w:r w:rsidRPr="00AD543B">
        <w:t xml:space="preserve">. </w:t>
      </w:r>
    </w:p>
    <w:p w:rsidR="00EA3A24" w:rsidRPr="00AD543B" w:rsidRDefault="00EA3A24" w:rsidP="00D04BB0">
      <w:pPr>
        <w:rPr>
          <w:rFonts w:hint="eastAsia"/>
        </w:rPr>
      </w:pPr>
    </w:p>
    <w:p w:rsidR="00EA3A24" w:rsidRPr="00D04BB0" w:rsidRDefault="000A033D" w:rsidP="00D04BB0">
      <w:pPr>
        <w:rPr>
          <w:rFonts w:hint="eastAsia"/>
          <w:color w:val="FFC000"/>
        </w:rPr>
      </w:pPr>
      <w:r w:rsidRPr="00D04BB0">
        <w:rPr>
          <w:color w:val="FFC000"/>
        </w:rPr>
        <w:t>Zitat</w:t>
      </w:r>
    </w:p>
    <w:p w:rsidR="00F045B3" w:rsidRPr="00C517CA" w:rsidRDefault="006E7EA8" w:rsidP="00C517CA">
      <w:pPr>
        <w:rPr>
          <w:rFonts w:hint="eastAsia"/>
        </w:rPr>
      </w:pPr>
      <w:r w:rsidRPr="00C517CA">
        <w:t>„</w:t>
      </w:r>
      <w:r w:rsidR="00083F5D" w:rsidRPr="00C517CA">
        <w:t>Es geht um einen Gleichklang von sozialer und ökologischer Gerechtigkeit. Nur in dieser Option ist ökologisch fatalen Phänomenen – wie z. B. dem Klimawandel mit all seinen sozialen und individuellen Bedrohungen – wirksam zu begegnen.</w:t>
      </w:r>
      <w:r w:rsidR="00F045B3" w:rsidRPr="00C517CA">
        <w:t xml:space="preserve"> (</w:t>
      </w:r>
      <w:r w:rsidR="007B2E7C" w:rsidRPr="00C517CA">
        <w:t>Ronald Blaschke, in:</w:t>
      </w:r>
      <w:r w:rsidR="00083F5D" w:rsidRPr="00C517CA">
        <w:t xml:space="preserve"> </w:t>
      </w:r>
      <w:r w:rsidR="00F045B3" w:rsidRPr="00C517CA">
        <w:t xml:space="preserve">Maik </w:t>
      </w:r>
      <w:proofErr w:type="spellStart"/>
      <w:r w:rsidR="00F045B3" w:rsidRPr="00C517CA">
        <w:t>Hosang</w:t>
      </w:r>
      <w:proofErr w:type="spellEnd"/>
      <w:r w:rsidR="00F045B3" w:rsidRPr="00C517CA">
        <w:t xml:space="preserve"> (Hrsg.): Klimawandel und Grundeinkommen: Die nicht zufällige Gleichzeitigkeit beider Themen und ein sozialökologisches Experiment, München 2008) </w:t>
      </w:r>
    </w:p>
    <w:p w:rsidR="00EA3A24" w:rsidRPr="00D04BB0" w:rsidRDefault="00EA3A24" w:rsidP="00D04BB0">
      <w:pPr>
        <w:rPr>
          <w:rFonts w:hint="eastAsia"/>
        </w:rPr>
      </w:pPr>
    </w:p>
    <w:p w:rsidR="00EA3A24" w:rsidRPr="00AD543B" w:rsidRDefault="000A033D" w:rsidP="00D04BB0">
      <w:pPr>
        <w:rPr>
          <w:rFonts w:hint="eastAsia"/>
        </w:rPr>
      </w:pPr>
      <w:r w:rsidRPr="00AD543B">
        <w:t>Impressum</w:t>
      </w:r>
    </w:p>
    <w:p w:rsidR="00EA3A24" w:rsidRPr="00AD543B" w:rsidRDefault="000A033D" w:rsidP="00D04BB0">
      <w:pPr>
        <w:rPr>
          <w:rFonts w:hint="eastAsia"/>
        </w:rPr>
      </w:pPr>
      <w:r w:rsidRPr="00AD543B">
        <w:t>Herausgeber: Netzwerkrat des Netzwerks Grundeinkommen</w:t>
      </w:r>
    </w:p>
    <w:p w:rsidR="0034100A" w:rsidRPr="00AD543B" w:rsidRDefault="0034100A" w:rsidP="00D04BB0">
      <w:pPr>
        <w:rPr>
          <w:rFonts w:hint="eastAsia"/>
        </w:rPr>
      </w:pPr>
      <w:r w:rsidRPr="00AD543B">
        <w:t xml:space="preserve">Redaktion: </w:t>
      </w:r>
      <w:r w:rsidR="000A033D" w:rsidRPr="00AD543B">
        <w:t>Ronald Blaschke</w:t>
      </w:r>
      <w:r w:rsidRPr="00AD543B">
        <w:t xml:space="preserve">, Michael </w:t>
      </w:r>
      <w:proofErr w:type="spellStart"/>
      <w:r w:rsidRPr="00AD543B">
        <w:t>Levedag</w:t>
      </w:r>
      <w:proofErr w:type="spellEnd"/>
    </w:p>
    <w:p w:rsidR="0034100A" w:rsidRPr="00AD543B" w:rsidRDefault="000A033D" w:rsidP="00D04BB0">
      <w:pPr>
        <w:rPr>
          <w:rFonts w:hint="eastAsia"/>
        </w:rPr>
      </w:pPr>
      <w:r w:rsidRPr="00AD543B">
        <w:t xml:space="preserve">Der Newsletter des Netzwerks Grundeinkommen erscheint einmal im Monat und wird als E-Mail versandt. Er kann kostenlos </w:t>
      </w:r>
      <w:hyperlink r:id="rId17">
        <w:r w:rsidRPr="00AD543B">
          <w:rPr>
            <w:rStyle w:val="Hyperlink"/>
          </w:rPr>
          <w:t>abonniert</w:t>
        </w:r>
      </w:hyperlink>
      <w:r w:rsidR="0034100A" w:rsidRPr="00AD543B">
        <w:t xml:space="preserve"> werden.</w:t>
      </w:r>
    </w:p>
    <w:p w:rsidR="00EA3A24" w:rsidRPr="00AD543B" w:rsidRDefault="000A033D" w:rsidP="00D04BB0">
      <w:pPr>
        <w:rPr>
          <w:rFonts w:hint="eastAsia"/>
        </w:rPr>
      </w:pPr>
      <w:r w:rsidRPr="00AD543B">
        <w:t xml:space="preserve">Das </w:t>
      </w:r>
      <w:hyperlink r:id="rId18">
        <w:r w:rsidRPr="00AD543B">
          <w:rPr>
            <w:rStyle w:val="Hyperlink"/>
          </w:rPr>
          <w:t>Netzwerk Grundeinkommen</w:t>
        </w:r>
      </w:hyperlink>
      <w:r w:rsidRPr="00AD543B">
        <w:t xml:space="preserve"> ist ein überparteilicher Zusammenschluss von Personen und Organisationen, die für das Grundeinkommen eintreten. </w:t>
      </w:r>
      <w:hyperlink r:id="rId19">
        <w:r w:rsidRPr="00AD543B">
          <w:rPr>
            <w:rStyle w:val="Hyperlink"/>
          </w:rPr>
          <w:t>Neue Mitglieder</w:t>
        </w:r>
      </w:hyperlink>
      <w:r w:rsidRPr="00AD543B">
        <w:t xml:space="preserve"> sind herzlich willkommen, </w:t>
      </w:r>
      <w:hyperlink r:id="rId20">
        <w:r w:rsidRPr="00AD543B">
          <w:rPr>
            <w:rStyle w:val="Hyperlink"/>
          </w:rPr>
          <w:t>Spenden</w:t>
        </w:r>
      </w:hyperlink>
      <w:r w:rsidRPr="00AD543B">
        <w:t xml:space="preserve"> ebenfalls.</w:t>
      </w:r>
    </w:p>
    <w:sectPr w:rsidR="00EA3A24" w:rsidRPr="00AD543B">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0" w:footer="0" w:gutter="0"/>
      <w:cols w:space="720"/>
      <w:formProt w:val="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B0" w:rsidRDefault="00CF13B0">
      <w:pPr>
        <w:rPr>
          <w:rFonts w:hint="eastAsia"/>
        </w:rPr>
      </w:pPr>
      <w:r>
        <w:separator/>
      </w:r>
    </w:p>
  </w:endnote>
  <w:endnote w:type="continuationSeparator" w:id="0">
    <w:p w:rsidR="00CF13B0" w:rsidRDefault="00CF13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 San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Open Sans Semibol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D9" w:rsidRDefault="00A66DD9">
    <w:pPr>
      <w:pStyle w:val="Fuzeil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24" w:rsidRDefault="00EA3A24">
    <w:pPr>
      <w:pStyle w:val="Fuzeile"/>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D9" w:rsidRDefault="00A66DD9">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B0" w:rsidRDefault="00CF13B0">
      <w:pPr>
        <w:rPr>
          <w:rFonts w:hint="eastAsia"/>
        </w:rPr>
      </w:pPr>
      <w:r>
        <w:separator/>
      </w:r>
    </w:p>
  </w:footnote>
  <w:footnote w:type="continuationSeparator" w:id="0">
    <w:p w:rsidR="00CF13B0" w:rsidRDefault="00CF13B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D9" w:rsidRDefault="00A66DD9">
    <w:pPr>
      <w:pStyle w:val="Kopfzeil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24" w:rsidRDefault="00EA3A24">
    <w:pPr>
      <w:pStyle w:val="Kopfzeil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D9" w:rsidRDefault="00A66DD9">
    <w:pPr>
      <w:pStyle w:val="Kopfzeil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D08C8"/>
    <w:multiLevelType w:val="hybridMultilevel"/>
    <w:tmpl w:val="88E08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674677"/>
    <w:multiLevelType w:val="multilevel"/>
    <w:tmpl w:val="28ACA968"/>
    <w:lvl w:ilvl="0">
      <w:start w:val="1"/>
      <w:numFmt w:val="bullet"/>
      <w:lvlText w:val=""/>
      <w:lvlJc w:val="left"/>
      <w:pPr>
        <w:tabs>
          <w:tab w:val="num" w:pos="283"/>
        </w:tabs>
        <w:ind w:left="283" w:hanging="226"/>
      </w:pPr>
      <w:rPr>
        <w:rFonts w:ascii="Symbol" w:hAnsi="Symbol" w:cs="OpenSymbol" w:hint="default"/>
        <w:sz w:val="22"/>
      </w:rPr>
    </w:lvl>
    <w:lvl w:ilvl="1">
      <w:start w:val="1"/>
      <w:numFmt w:val="bullet"/>
      <w:lvlText w:val="◦"/>
      <w:lvlJc w:val="left"/>
      <w:pPr>
        <w:tabs>
          <w:tab w:val="num" w:pos="1077"/>
        </w:tabs>
        <w:ind w:left="1077" w:hanging="360"/>
      </w:pPr>
      <w:rPr>
        <w:rFonts w:ascii="OpenSymbol" w:hAnsi="OpenSymbol" w:cs="OpenSymbol" w:hint="default"/>
      </w:rPr>
    </w:lvl>
    <w:lvl w:ilvl="2">
      <w:start w:val="1"/>
      <w:numFmt w:val="bullet"/>
      <w:lvlText w:val="▪"/>
      <w:lvlJc w:val="left"/>
      <w:pPr>
        <w:tabs>
          <w:tab w:val="num" w:pos="1437"/>
        </w:tabs>
        <w:ind w:left="1437" w:hanging="360"/>
      </w:pPr>
      <w:rPr>
        <w:rFonts w:ascii="OpenSymbol" w:hAnsi="OpenSymbol" w:cs="OpenSymbol" w:hint="default"/>
      </w:rPr>
    </w:lvl>
    <w:lvl w:ilvl="3">
      <w:start w:val="1"/>
      <w:numFmt w:val="bullet"/>
      <w:lvlText w:val=""/>
      <w:lvlJc w:val="left"/>
      <w:pPr>
        <w:tabs>
          <w:tab w:val="num" w:pos="1797"/>
        </w:tabs>
        <w:ind w:left="1797" w:hanging="360"/>
      </w:pPr>
      <w:rPr>
        <w:rFonts w:ascii="Symbol" w:hAnsi="Symbol" w:cs="OpenSymbol" w:hint="default"/>
      </w:rPr>
    </w:lvl>
    <w:lvl w:ilvl="4">
      <w:start w:val="1"/>
      <w:numFmt w:val="bullet"/>
      <w:lvlText w:val="◦"/>
      <w:lvlJc w:val="left"/>
      <w:pPr>
        <w:tabs>
          <w:tab w:val="num" w:pos="2157"/>
        </w:tabs>
        <w:ind w:left="2157" w:hanging="360"/>
      </w:pPr>
      <w:rPr>
        <w:rFonts w:ascii="OpenSymbol" w:hAnsi="OpenSymbol" w:cs="OpenSymbol" w:hint="default"/>
      </w:rPr>
    </w:lvl>
    <w:lvl w:ilvl="5">
      <w:start w:val="1"/>
      <w:numFmt w:val="bullet"/>
      <w:lvlText w:val="▪"/>
      <w:lvlJc w:val="left"/>
      <w:pPr>
        <w:tabs>
          <w:tab w:val="num" w:pos="2517"/>
        </w:tabs>
        <w:ind w:left="2517" w:hanging="360"/>
      </w:pPr>
      <w:rPr>
        <w:rFonts w:ascii="OpenSymbol" w:hAnsi="OpenSymbol" w:cs="OpenSymbol" w:hint="default"/>
      </w:rPr>
    </w:lvl>
    <w:lvl w:ilvl="6">
      <w:start w:val="1"/>
      <w:numFmt w:val="bullet"/>
      <w:lvlText w:val=""/>
      <w:lvlJc w:val="left"/>
      <w:pPr>
        <w:tabs>
          <w:tab w:val="num" w:pos="2877"/>
        </w:tabs>
        <w:ind w:left="2877" w:hanging="360"/>
      </w:pPr>
      <w:rPr>
        <w:rFonts w:ascii="Symbol" w:hAnsi="Symbol" w:cs="OpenSymbol" w:hint="default"/>
      </w:rPr>
    </w:lvl>
    <w:lvl w:ilvl="7">
      <w:start w:val="1"/>
      <w:numFmt w:val="bullet"/>
      <w:lvlText w:val="◦"/>
      <w:lvlJc w:val="left"/>
      <w:pPr>
        <w:tabs>
          <w:tab w:val="num" w:pos="3237"/>
        </w:tabs>
        <w:ind w:left="3237" w:hanging="360"/>
      </w:pPr>
      <w:rPr>
        <w:rFonts w:ascii="OpenSymbol" w:hAnsi="OpenSymbol" w:cs="OpenSymbol" w:hint="default"/>
      </w:rPr>
    </w:lvl>
    <w:lvl w:ilvl="8">
      <w:start w:val="1"/>
      <w:numFmt w:val="bullet"/>
      <w:lvlText w:val="▪"/>
      <w:lvlJc w:val="left"/>
      <w:pPr>
        <w:tabs>
          <w:tab w:val="num" w:pos="3597"/>
        </w:tabs>
        <w:ind w:left="3597" w:hanging="360"/>
      </w:pPr>
      <w:rPr>
        <w:rFonts w:ascii="OpenSymbol" w:hAnsi="OpenSymbol" w:cs="OpenSymbol" w:hint="default"/>
      </w:rPr>
    </w:lvl>
  </w:abstractNum>
  <w:abstractNum w:abstractNumId="2" w15:restartNumberingAfterBreak="0">
    <w:nsid w:val="4BB34792"/>
    <w:multiLevelType w:val="multilevel"/>
    <w:tmpl w:val="03F67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24"/>
    <w:rsid w:val="00075E1C"/>
    <w:rsid w:val="00083F5D"/>
    <w:rsid w:val="000A033D"/>
    <w:rsid w:val="000A2BDA"/>
    <w:rsid w:val="000C3B61"/>
    <w:rsid w:val="000D64A3"/>
    <w:rsid w:val="000E3579"/>
    <w:rsid w:val="000E4E46"/>
    <w:rsid w:val="00151F02"/>
    <w:rsid w:val="00154D9B"/>
    <w:rsid w:val="001643B5"/>
    <w:rsid w:val="001A116B"/>
    <w:rsid w:val="001A6267"/>
    <w:rsid w:val="001E5621"/>
    <w:rsid w:val="00202B65"/>
    <w:rsid w:val="00215A96"/>
    <w:rsid w:val="00234E7D"/>
    <w:rsid w:val="0027584F"/>
    <w:rsid w:val="002A07F9"/>
    <w:rsid w:val="00300810"/>
    <w:rsid w:val="003016A2"/>
    <w:rsid w:val="00333EB4"/>
    <w:rsid w:val="0034100A"/>
    <w:rsid w:val="0035654D"/>
    <w:rsid w:val="003619DF"/>
    <w:rsid w:val="00436A42"/>
    <w:rsid w:val="00492DFC"/>
    <w:rsid w:val="004D2F11"/>
    <w:rsid w:val="004E3C04"/>
    <w:rsid w:val="004F5007"/>
    <w:rsid w:val="0055107B"/>
    <w:rsid w:val="00587A77"/>
    <w:rsid w:val="005A2781"/>
    <w:rsid w:val="005B1953"/>
    <w:rsid w:val="005E2CC2"/>
    <w:rsid w:val="006561BF"/>
    <w:rsid w:val="00677B18"/>
    <w:rsid w:val="006C1316"/>
    <w:rsid w:val="006E3D2D"/>
    <w:rsid w:val="006E7EA8"/>
    <w:rsid w:val="006F0397"/>
    <w:rsid w:val="006F7321"/>
    <w:rsid w:val="00710789"/>
    <w:rsid w:val="007B2E7C"/>
    <w:rsid w:val="0082589A"/>
    <w:rsid w:val="00832C5D"/>
    <w:rsid w:val="008D781E"/>
    <w:rsid w:val="00904EC0"/>
    <w:rsid w:val="00927F8F"/>
    <w:rsid w:val="00951774"/>
    <w:rsid w:val="009E2B4A"/>
    <w:rsid w:val="00A073C6"/>
    <w:rsid w:val="00A162D1"/>
    <w:rsid w:val="00A2545E"/>
    <w:rsid w:val="00A3744A"/>
    <w:rsid w:val="00A404E3"/>
    <w:rsid w:val="00A45EA2"/>
    <w:rsid w:val="00A66DD9"/>
    <w:rsid w:val="00A906E8"/>
    <w:rsid w:val="00AA2B51"/>
    <w:rsid w:val="00AD543B"/>
    <w:rsid w:val="00AE362E"/>
    <w:rsid w:val="00AE7829"/>
    <w:rsid w:val="00AF1063"/>
    <w:rsid w:val="00BD21C1"/>
    <w:rsid w:val="00BF5C11"/>
    <w:rsid w:val="00BF6180"/>
    <w:rsid w:val="00C26DB5"/>
    <w:rsid w:val="00C517CA"/>
    <w:rsid w:val="00CB5C0E"/>
    <w:rsid w:val="00CC282F"/>
    <w:rsid w:val="00CF13B0"/>
    <w:rsid w:val="00D04BB0"/>
    <w:rsid w:val="00D36375"/>
    <w:rsid w:val="00D3723A"/>
    <w:rsid w:val="00D42133"/>
    <w:rsid w:val="00D67325"/>
    <w:rsid w:val="00D801A4"/>
    <w:rsid w:val="00D865F9"/>
    <w:rsid w:val="00DA0CF0"/>
    <w:rsid w:val="00E231B1"/>
    <w:rsid w:val="00E3478C"/>
    <w:rsid w:val="00E422B6"/>
    <w:rsid w:val="00E91964"/>
    <w:rsid w:val="00EA3A24"/>
    <w:rsid w:val="00EE3488"/>
    <w:rsid w:val="00F045B3"/>
    <w:rsid w:val="00F32104"/>
    <w:rsid w:val="00FB0C93"/>
    <w:rsid w:val="00FD218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en Sans" w:hAnsi="Open Sans"/>
      <w:sz w:val="24"/>
    </w:rPr>
  </w:style>
  <w:style w:type="paragraph" w:styleId="berschrift1">
    <w:name w:val="heading 1"/>
    <w:basedOn w:val="Standard"/>
    <w:next w:val="Standard"/>
    <w:link w:val="berschrift1Zchn"/>
    <w:uiPriority w:val="9"/>
    <w:qFormat/>
    <w:rsid w:val="00F045B3"/>
    <w:pPr>
      <w:keepNext/>
      <w:keepLines/>
      <w:spacing w:before="240"/>
      <w:outlineLvl w:val="0"/>
    </w:pPr>
    <w:rPr>
      <w:rFonts w:asciiTheme="majorHAnsi" w:eastAsiaTheme="majorEastAsia" w:hAnsiTheme="majorHAnsi"/>
      <w:color w:val="2E74B5" w:themeColor="accent1" w:themeShade="BF"/>
      <w:sz w:val="32"/>
      <w:szCs w:val="29"/>
    </w:rPr>
  </w:style>
  <w:style w:type="paragraph" w:styleId="berschrift2">
    <w:name w:val="heading 2"/>
    <w:basedOn w:val="Standard"/>
    <w:link w:val="berschrift2Zchn"/>
    <w:uiPriority w:val="9"/>
    <w:qFormat/>
    <w:rsid w:val="000C3B61"/>
    <w:pPr>
      <w:spacing w:before="100" w:beforeAutospacing="1" w:after="100" w:afterAutospacing="1"/>
      <w:outlineLvl w:val="1"/>
    </w:pPr>
    <w:rPr>
      <w:rFonts w:ascii="Times New Roman" w:eastAsia="Times New Roman" w:hAnsi="Times New Roman" w:cs="Times New Roman"/>
      <w:b/>
      <w:bCs/>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qFormat/>
    <w:rPr>
      <w:color w:val="008BD0"/>
      <w:u w:val="single"/>
    </w:rPr>
  </w:style>
  <w:style w:type="character" w:customStyle="1" w:styleId="Internetverknpfung">
    <w:name w:val="Internetverknüpfung"/>
    <w:basedOn w:val="Absatz-Standardschriftart"/>
    <w:uiPriority w:val="99"/>
    <w:unhideWhenUsed/>
    <w:rsid w:val="00FC17CE"/>
    <w:rPr>
      <w:color w:val="0563C1" w:themeColor="hyperlink"/>
      <w:u w:val="single"/>
    </w:rPr>
  </w:style>
  <w:style w:type="character" w:customStyle="1" w:styleId="BesuchteInternetverknpfung">
    <w:name w:val="Besuchte Internetverknüpfung"/>
    <w:rPr>
      <w:color w:val="008BD0"/>
      <w:u w:val="single"/>
    </w:rPr>
  </w:style>
  <w:style w:type="character" w:customStyle="1" w:styleId="ListLabel312">
    <w:name w:val="ListLabel 312"/>
    <w:qFormat/>
    <w:rPr>
      <w:rFonts w:cs="OpenSymbol"/>
      <w:sz w:val="22"/>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34">
    <w:name w:val="ListLabel 334"/>
    <w:qFormat/>
    <w:rPr>
      <w:rFonts w:ascii="Open Sans" w:hAnsi="Open Sans" w:cs="Arial"/>
      <w:sz w:val="22"/>
      <w:szCs w:val="22"/>
    </w:rPr>
  </w:style>
  <w:style w:type="character" w:customStyle="1" w:styleId="ListLabel336">
    <w:name w:val="ListLabel 336"/>
    <w:qFormat/>
    <w:rPr>
      <w:color w:val="0563C1"/>
      <w:sz w:val="22"/>
      <w:szCs w:val="22"/>
    </w:rPr>
  </w:style>
  <w:style w:type="character" w:customStyle="1" w:styleId="ListLabel337">
    <w:name w:val="ListLabel 337"/>
    <w:qFormat/>
    <w:rPr>
      <w:i/>
      <w:iCs/>
      <w:sz w:val="22"/>
      <w:szCs w:val="22"/>
    </w:rPr>
  </w:style>
  <w:style w:type="character" w:customStyle="1" w:styleId="ListLabel338">
    <w:name w:val="ListLabel 338"/>
    <w:qFormat/>
    <w:rPr>
      <w:sz w:val="22"/>
      <w:szCs w:val="22"/>
    </w:rPr>
  </w:style>
  <w:style w:type="character" w:customStyle="1" w:styleId="ListLabel339">
    <w:name w:val="ListLabel 339"/>
    <w:qFormat/>
    <w:rPr>
      <w:rFonts w:cs="OpenSymbol"/>
      <w:sz w:val="22"/>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sz w:val="22"/>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ascii="Arial" w:hAnsi="Arial" w:cs="Arial"/>
      <w:spacing w:val="2"/>
      <w:sz w:val="22"/>
      <w:szCs w:val="22"/>
      <w:highlight w:val="white"/>
    </w:rPr>
  </w:style>
  <w:style w:type="character" w:customStyle="1" w:styleId="ListLabel358">
    <w:name w:val="ListLabel 358"/>
    <w:qFormat/>
    <w:rPr>
      <w:rFonts w:cs="Arial"/>
      <w:sz w:val="22"/>
      <w:szCs w:val="22"/>
    </w:rPr>
  </w:style>
  <w:style w:type="character" w:customStyle="1" w:styleId="ListLabel359">
    <w:name w:val="ListLabel 359"/>
    <w:qFormat/>
    <w:rPr>
      <w:rFonts w:cs="Arial"/>
      <w:spacing w:val="2"/>
      <w:sz w:val="22"/>
      <w:szCs w:val="22"/>
      <w:shd w:val="clear" w:color="auto" w:fill="FFFFFF"/>
    </w:rPr>
  </w:style>
  <w:style w:type="character" w:customStyle="1" w:styleId="ListLabel360">
    <w:name w:val="ListLabel 360"/>
    <w:qFormat/>
    <w:rPr>
      <w:sz w:val="22"/>
      <w:szCs w:val="22"/>
    </w:rPr>
  </w:style>
  <w:style w:type="character" w:customStyle="1" w:styleId="ListLabel361">
    <w:name w:val="ListLabel 361"/>
    <w:qFormat/>
    <w:rPr>
      <w:color w:val="0563C1"/>
      <w:sz w:val="22"/>
      <w:szCs w:val="22"/>
    </w:rPr>
  </w:style>
  <w:style w:type="character" w:customStyle="1" w:styleId="ListLabel362">
    <w:name w:val="ListLabel 362"/>
    <w:qFormat/>
    <w:rPr>
      <w:i/>
      <w:iCs/>
      <w:sz w:val="22"/>
      <w:szCs w:val="22"/>
    </w:rPr>
  </w:style>
  <w:style w:type="character" w:customStyle="1" w:styleId="KommentartextZchn">
    <w:name w:val="Kommentartext Zchn"/>
    <w:basedOn w:val="Absatz-Standardschriftart"/>
    <w:link w:val="Kommentartext"/>
    <w:uiPriority w:val="99"/>
    <w:semiHidden/>
    <w:qFormat/>
    <w:rPr>
      <w:rFonts w:ascii="Open Sans" w:hAnsi="Open Sans"/>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semiHidden/>
    <w:qFormat/>
    <w:rsid w:val="00C97526"/>
    <w:rPr>
      <w:rFonts w:ascii="Segoe UI" w:hAnsi="Segoe UI"/>
      <w:sz w:val="18"/>
      <w:szCs w:val="16"/>
    </w:rPr>
  </w:style>
  <w:style w:type="character" w:customStyle="1" w:styleId="KopfzeileZchn">
    <w:name w:val="Kopfzeile Zchn"/>
    <w:basedOn w:val="Absatz-Standardschriftart"/>
    <w:link w:val="Kopfzeile"/>
    <w:uiPriority w:val="99"/>
    <w:qFormat/>
    <w:rsid w:val="00AB5670"/>
    <w:rPr>
      <w:rFonts w:ascii="Open Sans" w:hAnsi="Open Sans"/>
      <w:sz w:val="24"/>
      <w:szCs w:val="21"/>
    </w:rPr>
  </w:style>
  <w:style w:type="character" w:customStyle="1" w:styleId="FuzeileZchn">
    <w:name w:val="Fußzeile Zchn"/>
    <w:basedOn w:val="Absatz-Standardschriftart"/>
    <w:link w:val="Fuzeile"/>
    <w:uiPriority w:val="99"/>
    <w:qFormat/>
    <w:rsid w:val="00AB5670"/>
    <w:rPr>
      <w:rFonts w:ascii="Open Sans" w:hAnsi="Open Sans"/>
      <w:sz w:val="24"/>
      <w:szCs w:val="21"/>
    </w:rPr>
  </w:style>
  <w:style w:type="character" w:customStyle="1" w:styleId="ListLabel363">
    <w:name w:val="ListLabel 363"/>
    <w:qFormat/>
    <w:rPr>
      <w:rFonts w:cs="OpenSymbol"/>
      <w:sz w:val="22"/>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Arial"/>
      <w:spacing w:val="2"/>
      <w:sz w:val="22"/>
      <w:szCs w:val="22"/>
      <w:shd w:val="clear" w:color="auto" w:fill="FFFFFF"/>
    </w:rPr>
  </w:style>
  <w:style w:type="character" w:customStyle="1" w:styleId="ListLabel373">
    <w:name w:val="ListLabel 373"/>
    <w:qFormat/>
    <w:rPr>
      <w:rFonts w:cs="Arial"/>
      <w:sz w:val="22"/>
      <w:szCs w:val="22"/>
    </w:rPr>
  </w:style>
  <w:style w:type="character" w:customStyle="1" w:styleId="ListLabel374">
    <w:name w:val="ListLabel 374"/>
    <w:qFormat/>
    <w:rPr>
      <w:rFonts w:ascii="OpenSans" w:hAnsi="OpenSans"/>
      <w:spacing w:val="2"/>
      <w:sz w:val="22"/>
      <w:szCs w:val="22"/>
      <w:shd w:val="clear" w:color="auto" w:fill="FFFFFF"/>
    </w:rPr>
  </w:style>
  <w:style w:type="character" w:customStyle="1" w:styleId="ListLabel375">
    <w:name w:val="ListLabel 375"/>
    <w:qFormat/>
    <w:rPr>
      <w:sz w:val="22"/>
      <w:szCs w:val="22"/>
      <w:shd w:val="clear" w:color="auto" w:fill="FFFFFF"/>
    </w:rPr>
  </w:style>
  <w:style w:type="character" w:customStyle="1" w:styleId="ListLabel376">
    <w:name w:val="ListLabel 376"/>
    <w:qFormat/>
    <w:rPr>
      <w:sz w:val="22"/>
      <w:szCs w:val="22"/>
    </w:rPr>
  </w:style>
  <w:style w:type="character" w:customStyle="1" w:styleId="ListLabel377">
    <w:name w:val="ListLabel 377"/>
    <w:qFormat/>
    <w:rPr>
      <w:sz w:val="22"/>
      <w:szCs w:val="22"/>
    </w:rPr>
  </w:style>
  <w:style w:type="character" w:customStyle="1" w:styleId="ListLabel378">
    <w:name w:val="ListLabel 378"/>
    <w:qFormat/>
    <w:rPr>
      <w:rFonts w:cs="Arial"/>
      <w:sz w:val="22"/>
      <w:szCs w:val="22"/>
    </w:rPr>
  </w:style>
  <w:style w:type="character" w:customStyle="1" w:styleId="ListLabel379">
    <w:name w:val="ListLabel 379"/>
    <w:qFormat/>
    <w:rPr>
      <w:color w:val="0563C1"/>
      <w:sz w:val="22"/>
      <w:szCs w:val="22"/>
    </w:rPr>
  </w:style>
  <w:style w:type="character" w:customStyle="1" w:styleId="ListLabel380">
    <w:name w:val="ListLabel 380"/>
    <w:qFormat/>
    <w:rPr>
      <w:i/>
      <w:iCs/>
      <w:sz w:val="22"/>
      <w:szCs w:val="22"/>
    </w:rPr>
  </w:style>
  <w:style w:type="character" w:customStyle="1" w:styleId="ListLabel381">
    <w:name w:val="ListLabel 381"/>
    <w:qFormat/>
    <w:rPr>
      <w:rFonts w:cs="OpenSymbol"/>
      <w:sz w:val="22"/>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Arial"/>
      <w:sz w:val="22"/>
      <w:szCs w:val="22"/>
    </w:rPr>
  </w:style>
  <w:style w:type="character" w:customStyle="1" w:styleId="ListLabel391">
    <w:name w:val="ListLabel 391"/>
    <w:qFormat/>
    <w:rPr>
      <w:rFonts w:cs="Arial"/>
      <w:spacing w:val="2"/>
      <w:sz w:val="22"/>
      <w:szCs w:val="22"/>
      <w:highlight w:val="white"/>
    </w:rPr>
  </w:style>
  <w:style w:type="character" w:customStyle="1" w:styleId="ListLabel392">
    <w:name w:val="ListLabel 392"/>
    <w:qFormat/>
    <w:rPr>
      <w:rFonts w:cs="Arial"/>
      <w:sz w:val="22"/>
      <w:szCs w:val="22"/>
    </w:rPr>
  </w:style>
  <w:style w:type="character" w:customStyle="1" w:styleId="ListLabel393">
    <w:name w:val="ListLabel 393"/>
    <w:qFormat/>
    <w:rPr>
      <w:rFonts w:ascii="OpenSans" w:hAnsi="OpenSans"/>
      <w:spacing w:val="2"/>
      <w:sz w:val="22"/>
      <w:szCs w:val="22"/>
      <w:highlight w:val="white"/>
    </w:rPr>
  </w:style>
  <w:style w:type="character" w:customStyle="1" w:styleId="ListLabel394">
    <w:name w:val="ListLabel 394"/>
    <w:qFormat/>
    <w:rPr>
      <w:sz w:val="22"/>
      <w:szCs w:val="22"/>
      <w:highlight w:val="white"/>
    </w:rPr>
  </w:style>
  <w:style w:type="character" w:customStyle="1" w:styleId="ListLabel395">
    <w:name w:val="ListLabel 395"/>
    <w:qFormat/>
    <w:rPr>
      <w:sz w:val="22"/>
      <w:szCs w:val="22"/>
    </w:rPr>
  </w:style>
  <w:style w:type="character" w:customStyle="1" w:styleId="ListLabel396">
    <w:name w:val="ListLabel 396"/>
    <w:qFormat/>
    <w:rPr>
      <w:color w:val="0563C1"/>
      <w:sz w:val="22"/>
      <w:szCs w:val="22"/>
    </w:rPr>
  </w:style>
  <w:style w:type="character" w:customStyle="1" w:styleId="ListLabel397">
    <w:name w:val="ListLabel 397"/>
    <w:qFormat/>
    <w:rPr>
      <w:i/>
      <w:iCs/>
      <w:sz w:val="22"/>
      <w:szCs w:val="22"/>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styleId="Kommentartext">
    <w:name w:val="annotation text"/>
    <w:basedOn w:val="Standard"/>
    <w:link w:val="KommentartextZchn"/>
    <w:uiPriority w:val="99"/>
    <w:semiHidden/>
    <w:unhideWhenUsed/>
    <w:qFormat/>
    <w:rPr>
      <w:sz w:val="20"/>
      <w:szCs w:val="18"/>
    </w:rPr>
  </w:style>
  <w:style w:type="paragraph" w:styleId="Sprechblasentext">
    <w:name w:val="Balloon Text"/>
    <w:basedOn w:val="Standard"/>
    <w:link w:val="SprechblasentextZchn"/>
    <w:uiPriority w:val="99"/>
    <w:semiHidden/>
    <w:unhideWhenUsed/>
    <w:qFormat/>
    <w:rsid w:val="00C97526"/>
    <w:rPr>
      <w:rFonts w:ascii="Segoe UI" w:hAnsi="Segoe UI"/>
      <w:sz w:val="18"/>
      <w:szCs w:val="16"/>
    </w:rPr>
  </w:style>
  <w:style w:type="paragraph" w:styleId="Kopfzeile">
    <w:name w:val="header"/>
    <w:basedOn w:val="Standard"/>
    <w:link w:val="KopfzeileZchn"/>
    <w:uiPriority w:val="99"/>
    <w:unhideWhenUsed/>
    <w:rsid w:val="00AB5670"/>
    <w:pPr>
      <w:tabs>
        <w:tab w:val="center" w:pos="4536"/>
        <w:tab w:val="right" w:pos="9072"/>
      </w:tabs>
    </w:pPr>
    <w:rPr>
      <w:szCs w:val="21"/>
    </w:rPr>
  </w:style>
  <w:style w:type="paragraph" w:styleId="Fuzeile">
    <w:name w:val="footer"/>
    <w:basedOn w:val="Standard"/>
    <w:link w:val="FuzeileZchn"/>
    <w:uiPriority w:val="99"/>
    <w:unhideWhenUsed/>
    <w:rsid w:val="00AB5670"/>
    <w:pPr>
      <w:tabs>
        <w:tab w:val="center" w:pos="4536"/>
        <w:tab w:val="right" w:pos="9072"/>
      </w:tabs>
    </w:pPr>
    <w:rPr>
      <w:szCs w:val="21"/>
    </w:rPr>
  </w:style>
  <w:style w:type="character" w:styleId="Hyperlink">
    <w:name w:val="Hyperlink"/>
    <w:basedOn w:val="Absatz-Standardschriftart"/>
    <w:uiPriority w:val="99"/>
    <w:unhideWhenUsed/>
    <w:rsid w:val="006E3D2D"/>
    <w:rPr>
      <w:color w:val="0563C1" w:themeColor="hyperlink"/>
      <w:u w:val="single"/>
    </w:rPr>
  </w:style>
  <w:style w:type="character" w:styleId="BesuchterHyperlink">
    <w:name w:val="FollowedHyperlink"/>
    <w:basedOn w:val="Absatz-Standardschriftart"/>
    <w:uiPriority w:val="99"/>
    <w:semiHidden/>
    <w:unhideWhenUsed/>
    <w:rsid w:val="00C26DB5"/>
    <w:rPr>
      <w:color w:val="954F72" w:themeColor="followedHyperlink"/>
      <w:u w:val="single"/>
    </w:rPr>
  </w:style>
  <w:style w:type="character" w:customStyle="1" w:styleId="berschrift2Zchn">
    <w:name w:val="Überschrift 2 Zchn"/>
    <w:basedOn w:val="Absatz-Standardschriftart"/>
    <w:link w:val="berschrift2"/>
    <w:uiPriority w:val="9"/>
    <w:rsid w:val="000C3B61"/>
    <w:rPr>
      <w:rFonts w:ascii="Times New Roman" w:eastAsia="Times New Roman" w:hAnsi="Times New Roman" w:cs="Times New Roman"/>
      <w:b/>
      <w:bCs/>
      <w:sz w:val="36"/>
      <w:szCs w:val="36"/>
      <w:lang w:eastAsia="de-DE" w:bidi="ar-SA"/>
    </w:rPr>
  </w:style>
  <w:style w:type="paragraph" w:styleId="Listenabsatz">
    <w:name w:val="List Paragraph"/>
    <w:basedOn w:val="Standard"/>
    <w:uiPriority w:val="34"/>
    <w:qFormat/>
    <w:rsid w:val="00D04BB0"/>
    <w:pPr>
      <w:ind w:left="720"/>
      <w:contextualSpacing/>
    </w:pPr>
    <w:rPr>
      <w:szCs w:val="21"/>
    </w:rPr>
  </w:style>
  <w:style w:type="character" w:customStyle="1" w:styleId="berschrift1Zchn">
    <w:name w:val="Überschrift 1 Zchn"/>
    <w:basedOn w:val="Absatz-Standardschriftart"/>
    <w:link w:val="berschrift1"/>
    <w:uiPriority w:val="9"/>
    <w:rsid w:val="00F045B3"/>
    <w:rPr>
      <w:rFonts w:asciiTheme="majorHAnsi" w:eastAsiaTheme="majorEastAsia" w:hAnsiTheme="majorHAnsi"/>
      <w:color w:val="2E74B5" w:themeColor="accent1" w:themeShade="BF"/>
      <w:sz w:val="32"/>
      <w:szCs w:val="29"/>
    </w:rPr>
  </w:style>
  <w:style w:type="character" w:customStyle="1" w:styleId="a-size-large">
    <w:name w:val="a-size-large"/>
    <w:basedOn w:val="Absatz-Standardschriftart"/>
    <w:rsid w:val="00F0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7483">
      <w:bodyDiv w:val="1"/>
      <w:marLeft w:val="0"/>
      <w:marRight w:val="0"/>
      <w:marTop w:val="0"/>
      <w:marBottom w:val="0"/>
      <w:divBdr>
        <w:top w:val="none" w:sz="0" w:space="0" w:color="auto"/>
        <w:left w:val="none" w:sz="0" w:space="0" w:color="auto"/>
        <w:bottom w:val="none" w:sz="0" w:space="0" w:color="auto"/>
        <w:right w:val="none" w:sz="0" w:space="0" w:color="auto"/>
      </w:divBdr>
    </w:div>
    <w:div w:id="185055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de/alb20/" TargetMode="External"/><Relationship Id="rId13" Type="http://schemas.openxmlformats.org/officeDocument/2006/relationships/hyperlink" Target="https://www.bewegungskonferenz.de/worum-gehts.html" TargetMode="External"/><Relationship Id="rId18" Type="http://schemas.openxmlformats.org/officeDocument/2006/relationships/hyperlink" Target="https://www.grundeinkommen.de/ueber-uns/statute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grundeinkommen.de/24/09/2019/dokumentation-der-diakonie-fachtage-zum-grundeinkommen-online.html" TargetMode="External"/><Relationship Id="rId17" Type="http://schemas.openxmlformats.org/officeDocument/2006/relationships/hyperlink" Target="https://www.grundeinkommen.de/newsletter-ab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rundeinkommen.de/termine" TargetMode="External"/><Relationship Id="rId20" Type="http://schemas.openxmlformats.org/officeDocument/2006/relationships/hyperlink" Target="https://www.grundeinkommen.de/spen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undeinkommen.de/17/09/2019/thueringen-grundeinkommen-ist-waehlbar.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igibge.wordpress.com/2019/02/04/digibge19-tourne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rundeinkommen.de/14/08/2019/ausgewaehlte-texte-von-vordenkerinnen-des-grundeinkommens-versammelt-in-einem-buch.html" TargetMode="External"/><Relationship Id="rId19" Type="http://schemas.openxmlformats.org/officeDocument/2006/relationships/hyperlink" Target="https://www.grundeinkommen.de/mitglied-werden" TargetMode="External"/><Relationship Id="rId4" Type="http://schemas.openxmlformats.org/officeDocument/2006/relationships/webSettings" Target="webSettings.xml"/><Relationship Id="rId9" Type="http://schemas.openxmlformats.org/officeDocument/2006/relationships/hyperlink" Target="https://weltkirche.katholisch.de/Themen/Welthandel/Diese-Wirtschaft-t%C3%B6tet" TargetMode="External"/><Relationship Id="rId14" Type="http://schemas.openxmlformats.org/officeDocument/2006/relationships/hyperlink" Target="https://www.facebook.com/events/85579248148829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2019-09-26T18:32:00Z</dcterms:created>
  <dcterms:modified xsi:type="dcterms:W3CDTF">2019-09-30T18:47:00Z</dcterms:modified>
  <dc:language/>
</cp:coreProperties>
</file>